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C994C0" w14:textId="281E69B9" w:rsidR="004F139B" w:rsidRPr="00B34413" w:rsidRDefault="004F139B" w:rsidP="004F139B">
      <w:pPr>
        <w:jc w:val="both"/>
        <w:rPr>
          <w:rFonts w:ascii="Times New Roman" w:hAnsi="Times New Roman"/>
          <w:b/>
          <w:sz w:val="28"/>
        </w:rPr>
      </w:pPr>
      <w:proofErr w:type="spellStart"/>
      <w:r w:rsidRPr="00B34413">
        <w:rPr>
          <w:rFonts w:ascii="Times New Roman" w:hAnsi="Times New Roman"/>
          <w:b/>
          <w:sz w:val="28"/>
        </w:rPr>
        <w:t>Roeliff</w:t>
      </w:r>
      <w:proofErr w:type="spellEnd"/>
      <w:r w:rsidRPr="00B34413">
        <w:rPr>
          <w:rFonts w:ascii="Times New Roman" w:hAnsi="Times New Roman"/>
          <w:b/>
          <w:sz w:val="28"/>
        </w:rPr>
        <w:t xml:space="preserve"> Jansen Community Library</w:t>
      </w:r>
    </w:p>
    <w:p w14:paraId="715C4ED5" w14:textId="77777777" w:rsidR="004F139B" w:rsidRPr="00B34413" w:rsidRDefault="004F139B" w:rsidP="004F139B">
      <w:pPr>
        <w:rPr>
          <w:rFonts w:ascii="Times New Roman" w:hAnsi="Times New Roman"/>
          <w:b/>
          <w:sz w:val="28"/>
        </w:rPr>
      </w:pPr>
      <w:r w:rsidRPr="00B34413">
        <w:rPr>
          <w:rFonts w:ascii="Times New Roman" w:hAnsi="Times New Roman"/>
          <w:b/>
          <w:sz w:val="28"/>
        </w:rPr>
        <w:t>Board of Trustees</w:t>
      </w:r>
    </w:p>
    <w:p w14:paraId="7D492D59" w14:textId="77777777" w:rsidR="004F139B" w:rsidRPr="00B34413" w:rsidRDefault="004F139B" w:rsidP="004F139B">
      <w:pPr>
        <w:rPr>
          <w:rFonts w:ascii="Times New Roman" w:hAnsi="Times New Roman"/>
          <w:b/>
          <w:sz w:val="28"/>
        </w:rPr>
      </w:pPr>
    </w:p>
    <w:p w14:paraId="7B5DA5CA" w14:textId="77777777" w:rsidR="004F139B" w:rsidRDefault="004F139B" w:rsidP="004F139B">
      <w:pPr>
        <w:rPr>
          <w:rFonts w:ascii="Times New Roman" w:hAnsi="Times New Roman"/>
          <w:b/>
          <w:sz w:val="28"/>
        </w:rPr>
      </w:pPr>
      <w:r w:rsidRPr="00B34413">
        <w:rPr>
          <w:rFonts w:ascii="Times New Roman" w:hAnsi="Times New Roman"/>
          <w:b/>
          <w:sz w:val="28"/>
        </w:rPr>
        <w:t>Treasurer’s Report</w:t>
      </w:r>
    </w:p>
    <w:p w14:paraId="52AE3D54" w14:textId="3614A290" w:rsidR="004F139B" w:rsidRDefault="00DE291D" w:rsidP="004F139B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</w:t>
      </w:r>
      <w:r w:rsidR="00520B8A">
        <w:rPr>
          <w:rFonts w:ascii="Times New Roman" w:hAnsi="Times New Roman"/>
          <w:b/>
          <w:sz w:val="28"/>
        </w:rPr>
        <w:t>2</w:t>
      </w:r>
      <w:r w:rsidR="004F139B">
        <w:rPr>
          <w:rFonts w:ascii="Times New Roman" w:hAnsi="Times New Roman"/>
          <w:b/>
          <w:sz w:val="28"/>
        </w:rPr>
        <w:t>/</w:t>
      </w:r>
      <w:r w:rsidR="00520B8A">
        <w:rPr>
          <w:rFonts w:ascii="Times New Roman" w:hAnsi="Times New Roman"/>
          <w:b/>
          <w:sz w:val="28"/>
        </w:rPr>
        <w:t>17</w:t>
      </w:r>
      <w:r w:rsidR="004F139B">
        <w:rPr>
          <w:rFonts w:ascii="Times New Roman" w:hAnsi="Times New Roman"/>
          <w:b/>
          <w:sz w:val="28"/>
        </w:rPr>
        <w:t>/2</w:t>
      </w:r>
      <w:r w:rsidR="00E05861">
        <w:rPr>
          <w:rFonts w:ascii="Times New Roman" w:hAnsi="Times New Roman"/>
          <w:b/>
          <w:sz w:val="28"/>
        </w:rPr>
        <w:t>4</w:t>
      </w:r>
      <w:r w:rsidR="004F139B">
        <w:rPr>
          <w:rFonts w:ascii="Times New Roman" w:hAnsi="Times New Roman"/>
          <w:b/>
          <w:sz w:val="28"/>
        </w:rPr>
        <w:t xml:space="preserve"> </w:t>
      </w:r>
      <w:r w:rsidR="004F139B" w:rsidRPr="00B34413">
        <w:rPr>
          <w:rFonts w:ascii="Times New Roman" w:hAnsi="Times New Roman"/>
          <w:b/>
          <w:sz w:val="28"/>
        </w:rPr>
        <w:t xml:space="preserve">for </w:t>
      </w:r>
      <w:r w:rsidR="00520B8A">
        <w:rPr>
          <w:rFonts w:ascii="Times New Roman" w:hAnsi="Times New Roman"/>
          <w:b/>
          <w:sz w:val="28"/>
        </w:rPr>
        <w:t>November</w:t>
      </w:r>
      <w:r w:rsidR="005660A9">
        <w:rPr>
          <w:rFonts w:ascii="Times New Roman" w:hAnsi="Times New Roman"/>
          <w:b/>
          <w:sz w:val="28"/>
        </w:rPr>
        <w:t xml:space="preserve"> 2024</w:t>
      </w:r>
    </w:p>
    <w:p w14:paraId="6C5BC8E8" w14:textId="6F2B9902" w:rsidR="00BA422F" w:rsidRDefault="00BA422F">
      <w:pPr>
        <w:rPr>
          <w:rFonts w:ascii="Times New Roman" w:hAnsi="Times New Roman"/>
          <w:bCs/>
        </w:rPr>
      </w:pPr>
    </w:p>
    <w:p w14:paraId="318FB645" w14:textId="77777777" w:rsidR="00DE291D" w:rsidRPr="00DE291D" w:rsidRDefault="00DE291D">
      <w:pPr>
        <w:rPr>
          <w:rFonts w:ascii="Times New Roman" w:hAnsi="Times New Roman"/>
          <w:bCs/>
        </w:rPr>
      </w:pPr>
    </w:p>
    <w:p w14:paraId="01ABE3A9" w14:textId="3A496A3D" w:rsidR="005648CF" w:rsidRDefault="005648CF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Income for November was $15,073, which was $5,330 over budget thanks to early annual appeal donations, a grant, and a contribution from the friends to cover expenses for the new library sign. </w:t>
      </w:r>
    </w:p>
    <w:p w14:paraId="43C6BB9D" w14:textId="77777777" w:rsidR="005648CF" w:rsidRDefault="005648CF">
      <w:pPr>
        <w:rPr>
          <w:rFonts w:ascii="Times New Roman" w:hAnsi="Times New Roman"/>
          <w:bCs/>
        </w:rPr>
      </w:pPr>
    </w:p>
    <w:p w14:paraId="512D5C83" w14:textId="1564B128" w:rsidR="005648CF" w:rsidRDefault="005648CF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As reported last month, we have corrected the way income from the agency fund at Berkshire Taconic Community Foundation is recorded. That has changed the YTD total for “Other” income. </w:t>
      </w:r>
    </w:p>
    <w:p w14:paraId="678FD1F3" w14:textId="77777777" w:rsidR="005648CF" w:rsidRDefault="005648CF">
      <w:pPr>
        <w:rPr>
          <w:rFonts w:ascii="Times New Roman" w:hAnsi="Times New Roman"/>
          <w:bCs/>
        </w:rPr>
      </w:pPr>
    </w:p>
    <w:p w14:paraId="3C85ACB0" w14:textId="1EB75B6B" w:rsidR="005648CF" w:rsidRDefault="005648CF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Expenses for November were $39,598, which was $8,248 below budget. Three pa</w:t>
      </w:r>
      <w:r w:rsidR="00D845A0">
        <w:rPr>
          <w:rFonts w:ascii="Times New Roman" w:hAnsi="Times New Roman"/>
          <w:bCs/>
        </w:rPr>
        <w:t>y</w:t>
      </w:r>
      <w:r>
        <w:rPr>
          <w:rFonts w:ascii="Times New Roman" w:hAnsi="Times New Roman"/>
          <w:bCs/>
        </w:rPr>
        <w:t xml:space="preserve">rolls </w:t>
      </w:r>
      <w:r w:rsidR="00D845A0">
        <w:rPr>
          <w:rFonts w:ascii="Times New Roman" w:hAnsi="Times New Roman"/>
          <w:bCs/>
        </w:rPr>
        <w:t>were budgeted but there were only two. T</w:t>
      </w:r>
      <w:r>
        <w:rPr>
          <w:rFonts w:ascii="Times New Roman" w:hAnsi="Times New Roman"/>
          <w:bCs/>
        </w:rPr>
        <w:t xml:space="preserve">he bill for Building &amp; Contents insurance of $8,331 was paid in November but accrued to October so it does not appear as a November expense. </w:t>
      </w:r>
      <w:r w:rsidR="00D845A0">
        <w:rPr>
          <w:rFonts w:ascii="Times New Roman" w:hAnsi="Times New Roman"/>
          <w:bCs/>
        </w:rPr>
        <w:t xml:space="preserve">Library Services includes $5,175 for microfilming The Columbia Paper; this is covered by a grant. Building Operations include $3,625 for the sign; this is covered by the donation from the Friends. </w:t>
      </w:r>
      <w:r w:rsidR="00E12588">
        <w:rPr>
          <w:rFonts w:ascii="Times New Roman" w:hAnsi="Times New Roman"/>
          <w:bCs/>
        </w:rPr>
        <w:t>“</w:t>
      </w:r>
      <w:r w:rsidR="00D845A0">
        <w:rPr>
          <w:rFonts w:ascii="Times New Roman" w:hAnsi="Times New Roman"/>
          <w:bCs/>
        </w:rPr>
        <w:t>Other</w:t>
      </w:r>
      <w:r w:rsidR="00E12588">
        <w:rPr>
          <w:rFonts w:ascii="Times New Roman" w:hAnsi="Times New Roman"/>
          <w:bCs/>
        </w:rPr>
        <w:t>”</w:t>
      </w:r>
      <w:r w:rsidR="00D845A0">
        <w:rPr>
          <w:rFonts w:ascii="Times New Roman" w:hAnsi="Times New Roman"/>
          <w:bCs/>
        </w:rPr>
        <w:t xml:space="preserve"> includes $3,000 for the 2024 audit</w:t>
      </w:r>
      <w:r w:rsidR="00E12588">
        <w:rPr>
          <w:rFonts w:ascii="Times New Roman" w:hAnsi="Times New Roman"/>
          <w:bCs/>
        </w:rPr>
        <w:t xml:space="preserve">, which that accountant has already started working </w:t>
      </w:r>
      <w:proofErr w:type="gramStart"/>
      <w:r w:rsidR="00E12588">
        <w:rPr>
          <w:rFonts w:ascii="Times New Roman" w:hAnsi="Times New Roman"/>
          <w:bCs/>
        </w:rPr>
        <w:t>on.</w:t>
      </w:r>
      <w:r w:rsidR="00D845A0">
        <w:rPr>
          <w:rFonts w:ascii="Times New Roman" w:hAnsi="Times New Roman"/>
          <w:bCs/>
        </w:rPr>
        <w:t>.</w:t>
      </w:r>
      <w:proofErr w:type="gramEnd"/>
    </w:p>
    <w:p w14:paraId="58B39E28" w14:textId="509F9113" w:rsidR="00D845A0" w:rsidRDefault="00D845A0">
      <w:pPr>
        <w:rPr>
          <w:rFonts w:ascii="Times New Roman" w:hAnsi="Times New Roman"/>
          <w:bCs/>
        </w:rPr>
      </w:pPr>
    </w:p>
    <w:p w14:paraId="0E820EFE" w14:textId="31A3B0C9" w:rsidR="00D845A0" w:rsidRDefault="00D845A0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Construction includes a final bill for the berm project, $1,650, </w:t>
      </w:r>
      <w:r w:rsidR="00E12588">
        <w:rPr>
          <w:rFonts w:ascii="Times New Roman" w:hAnsi="Times New Roman"/>
          <w:bCs/>
        </w:rPr>
        <w:t xml:space="preserve">which </w:t>
      </w:r>
      <w:r>
        <w:rPr>
          <w:rFonts w:ascii="Times New Roman" w:hAnsi="Times New Roman"/>
          <w:bCs/>
        </w:rPr>
        <w:t>was paid in November but accrued to October.</w:t>
      </w:r>
    </w:p>
    <w:p w14:paraId="121C19EB" w14:textId="77777777" w:rsidR="00D845A0" w:rsidRDefault="00D845A0">
      <w:pPr>
        <w:rPr>
          <w:rFonts w:ascii="Times New Roman" w:hAnsi="Times New Roman"/>
          <w:bCs/>
        </w:rPr>
      </w:pPr>
    </w:p>
    <w:p w14:paraId="39794F9A" w14:textId="7BCD2013" w:rsidR="00D845A0" w:rsidRDefault="0075189B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Without the bequest, income for the year so far is $415,575, which is $34,166 below budget. Given the annual appeal donations received so far in December, it can confidently be said that non-bequest income for the year will exceed the $449,741 budget. Expenses are likely to be close to budget so the library will end the year in the black.</w:t>
      </w:r>
    </w:p>
    <w:p w14:paraId="38DB662A" w14:textId="77777777" w:rsidR="0075189B" w:rsidRDefault="0075189B">
      <w:pPr>
        <w:rPr>
          <w:rFonts w:ascii="Times New Roman" w:hAnsi="Times New Roman"/>
          <w:bCs/>
        </w:rPr>
      </w:pPr>
    </w:p>
    <w:p w14:paraId="49A05932" w14:textId="0E9FA559" w:rsidR="0075189B" w:rsidRDefault="0075189B">
      <w:pPr>
        <w:rPr>
          <w:rFonts w:ascii="Times New Roman" w:hAnsi="Times New Roman"/>
          <w:b/>
        </w:rPr>
      </w:pPr>
      <w:r w:rsidRPr="0075189B">
        <w:rPr>
          <w:rFonts w:ascii="Times New Roman" w:hAnsi="Times New Roman"/>
          <w:b/>
        </w:rPr>
        <w:t>2025 Budget</w:t>
      </w:r>
    </w:p>
    <w:p w14:paraId="224FA6A4" w14:textId="77777777" w:rsidR="0075189B" w:rsidRDefault="0075189B">
      <w:pPr>
        <w:rPr>
          <w:rFonts w:ascii="Times New Roman" w:hAnsi="Times New Roman"/>
          <w:b/>
        </w:rPr>
      </w:pPr>
    </w:p>
    <w:p w14:paraId="1B238A44" w14:textId="075479DC" w:rsidR="0075189B" w:rsidRDefault="00AD1939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The board member</w:t>
      </w:r>
      <w:r w:rsidR="00E12588">
        <w:rPr>
          <w:rFonts w:ascii="Times New Roman" w:hAnsi="Times New Roman"/>
          <w:bCs/>
        </w:rPr>
        <w:t>s</w:t>
      </w:r>
      <w:r>
        <w:rPr>
          <w:rFonts w:ascii="Times New Roman" w:hAnsi="Times New Roman"/>
          <w:bCs/>
        </w:rPr>
        <w:t xml:space="preserve"> who attended the budget review meeting approved the draft budget with minor changes. A few additional small changes have been made to Draft 3 which is being submitted to the full board for approval at the meeting.</w:t>
      </w:r>
      <w:r w:rsidR="008D7D53">
        <w:rPr>
          <w:rFonts w:ascii="Times New Roman" w:hAnsi="Times New Roman"/>
          <w:bCs/>
        </w:rPr>
        <w:t xml:space="preserve"> The only significant change is reducing the projected operating income from the BTCF agency fund from $22,000 to $15,000 given that we are now correctly recording the income. </w:t>
      </w:r>
    </w:p>
    <w:p w14:paraId="5F9F35BA" w14:textId="77777777" w:rsidR="008D7D53" w:rsidRDefault="008D7D53">
      <w:pPr>
        <w:rPr>
          <w:rFonts w:ascii="Times New Roman" w:hAnsi="Times New Roman"/>
          <w:bCs/>
        </w:rPr>
      </w:pPr>
    </w:p>
    <w:p w14:paraId="328CE59F" w14:textId="662FAC9A" w:rsidR="008D7D53" w:rsidRDefault="008D7D53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Overall expenses are up 7.6%. Payroll, which is about 60% of expenses, is up 10%.</w:t>
      </w:r>
    </w:p>
    <w:p w14:paraId="115C6CD4" w14:textId="77777777" w:rsidR="008D7D53" w:rsidRDefault="008D7D53">
      <w:pPr>
        <w:rPr>
          <w:rFonts w:ascii="Times New Roman" w:hAnsi="Times New Roman"/>
          <w:bCs/>
        </w:rPr>
      </w:pPr>
    </w:p>
    <w:p w14:paraId="4577AE3F" w14:textId="2C81E690" w:rsidR="00350884" w:rsidRDefault="008D7D53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As always, income has been budgeted conservatively. The budget of </w:t>
      </w:r>
      <w:r w:rsidR="003A2BAA">
        <w:rPr>
          <w:rFonts w:ascii="Times New Roman" w:hAnsi="Times New Roman"/>
          <w:bCs/>
        </w:rPr>
        <w:t>$456,760 is about 6% less than the projected 2024 income of about $484,000. In the 2024 budget</w:t>
      </w:r>
      <w:r w:rsidR="00E12588">
        <w:rPr>
          <w:rFonts w:ascii="Times New Roman" w:hAnsi="Times New Roman"/>
          <w:bCs/>
        </w:rPr>
        <w:t>,</w:t>
      </w:r>
      <w:r w:rsidR="003A2BAA">
        <w:rPr>
          <w:rFonts w:ascii="Times New Roman" w:hAnsi="Times New Roman"/>
          <w:bCs/>
        </w:rPr>
        <w:t xml:space="preserve"> income equaled expenses, but for 2025 income is projected to be $2</w:t>
      </w:r>
      <w:r w:rsidR="004A3094">
        <w:rPr>
          <w:rFonts w:ascii="Times New Roman" w:hAnsi="Times New Roman"/>
          <w:bCs/>
        </w:rPr>
        <w:t>6</w:t>
      </w:r>
      <w:r w:rsidR="003A2BAA">
        <w:rPr>
          <w:rFonts w:ascii="Times New Roman" w:hAnsi="Times New Roman"/>
          <w:bCs/>
        </w:rPr>
        <w:t>,</w:t>
      </w:r>
      <w:r w:rsidR="004A3094">
        <w:rPr>
          <w:rFonts w:ascii="Times New Roman" w:hAnsi="Times New Roman"/>
          <w:bCs/>
        </w:rPr>
        <w:t>3</w:t>
      </w:r>
      <w:r w:rsidR="003A2BAA">
        <w:rPr>
          <w:rFonts w:ascii="Times New Roman" w:hAnsi="Times New Roman"/>
          <w:bCs/>
        </w:rPr>
        <w:t xml:space="preserve">26 less than expenses. The income includes $15,000 of agency fund income, meaning that much would be withdrawn from the </w:t>
      </w:r>
      <w:r w:rsidR="00E12588">
        <w:rPr>
          <w:rFonts w:ascii="Times New Roman" w:hAnsi="Times New Roman"/>
          <w:bCs/>
        </w:rPr>
        <w:t xml:space="preserve">agency </w:t>
      </w:r>
      <w:r w:rsidR="003A2BAA">
        <w:rPr>
          <w:rFonts w:ascii="Times New Roman" w:hAnsi="Times New Roman"/>
          <w:bCs/>
        </w:rPr>
        <w:t>account</w:t>
      </w:r>
      <w:r w:rsidR="006C530E">
        <w:rPr>
          <w:rFonts w:ascii="Times New Roman" w:hAnsi="Times New Roman"/>
          <w:bCs/>
        </w:rPr>
        <w:t xml:space="preserve">. </w:t>
      </w:r>
      <w:r w:rsidR="00E12588">
        <w:rPr>
          <w:rFonts w:ascii="Times New Roman" w:hAnsi="Times New Roman"/>
          <w:bCs/>
        </w:rPr>
        <w:t xml:space="preserve"> Another $7,000, a portion of the Reinhard bequest</w:t>
      </w:r>
      <w:r w:rsidR="004A3094">
        <w:rPr>
          <w:rFonts w:ascii="Times New Roman" w:hAnsi="Times New Roman"/>
          <w:bCs/>
        </w:rPr>
        <w:t xml:space="preserve"> (which the library has been </w:t>
      </w:r>
      <w:r w:rsidR="004A3094">
        <w:rPr>
          <w:rFonts w:ascii="Times New Roman" w:hAnsi="Times New Roman"/>
          <w:bCs/>
        </w:rPr>
        <w:lastRenderedPageBreak/>
        <w:t xml:space="preserve">drawing down since 2019) </w:t>
      </w:r>
      <w:r w:rsidR="00E12588">
        <w:rPr>
          <w:rFonts w:ascii="Times New Roman" w:hAnsi="Times New Roman"/>
          <w:bCs/>
        </w:rPr>
        <w:t xml:space="preserve">will also be withdrawn. </w:t>
      </w:r>
      <w:r w:rsidR="004A3094">
        <w:rPr>
          <w:rFonts w:ascii="Times New Roman" w:hAnsi="Times New Roman"/>
          <w:bCs/>
        </w:rPr>
        <w:t>This bequest is i</w:t>
      </w:r>
      <w:r w:rsidR="00E12588">
        <w:rPr>
          <w:rFonts w:ascii="Times New Roman" w:hAnsi="Times New Roman"/>
          <w:bCs/>
        </w:rPr>
        <w:t xml:space="preserve">ncluded in the budget in net assets released from restriction. </w:t>
      </w:r>
      <w:r w:rsidR="006C530E">
        <w:rPr>
          <w:rFonts w:ascii="Times New Roman" w:hAnsi="Times New Roman"/>
          <w:bCs/>
        </w:rPr>
        <w:t>Add the shortfall and the library would be withdrawing $4</w:t>
      </w:r>
      <w:r w:rsidR="004A3094">
        <w:rPr>
          <w:rFonts w:ascii="Times New Roman" w:hAnsi="Times New Roman"/>
          <w:bCs/>
        </w:rPr>
        <w:t>8</w:t>
      </w:r>
      <w:r w:rsidR="006C530E">
        <w:rPr>
          <w:rFonts w:ascii="Times New Roman" w:hAnsi="Times New Roman"/>
          <w:bCs/>
        </w:rPr>
        <w:t>,</w:t>
      </w:r>
      <w:r w:rsidR="004A3094">
        <w:rPr>
          <w:rFonts w:ascii="Times New Roman" w:hAnsi="Times New Roman"/>
          <w:bCs/>
        </w:rPr>
        <w:t>3</w:t>
      </w:r>
      <w:r w:rsidR="006C530E">
        <w:rPr>
          <w:rFonts w:ascii="Times New Roman" w:hAnsi="Times New Roman"/>
          <w:bCs/>
        </w:rPr>
        <w:t>26.</w:t>
      </w:r>
    </w:p>
    <w:p w14:paraId="2C54A876" w14:textId="77777777" w:rsidR="00DD7B6F" w:rsidRDefault="00DD7B6F">
      <w:pPr>
        <w:rPr>
          <w:rFonts w:ascii="Times New Roman" w:hAnsi="Times New Roman"/>
          <w:bCs/>
        </w:rPr>
      </w:pPr>
    </w:p>
    <w:p w14:paraId="3BBB1340" w14:textId="6F66E3C1" w:rsidR="006C530E" w:rsidRDefault="00DD7B6F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Given that library budgets generally have income equal to expenses, a revenue line will be added to operating budget for “transfers in” </w:t>
      </w:r>
      <w:r w:rsidR="00C14BF1">
        <w:rPr>
          <w:rFonts w:ascii="Times New Roman" w:hAnsi="Times New Roman"/>
          <w:bCs/>
        </w:rPr>
        <w:t>to indicate funds to be withdrawn from the BTCF agency fund.</w:t>
      </w:r>
    </w:p>
    <w:p w14:paraId="7A1E398B" w14:textId="77777777" w:rsidR="00C14BF1" w:rsidRDefault="00C14BF1">
      <w:pPr>
        <w:rPr>
          <w:rFonts w:ascii="Times New Roman" w:hAnsi="Times New Roman"/>
          <w:bCs/>
        </w:rPr>
      </w:pPr>
    </w:p>
    <w:p w14:paraId="614CA773" w14:textId="3E59B76A" w:rsidR="003A2BAA" w:rsidRDefault="006C530E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This is the first time </w:t>
      </w:r>
      <w:r w:rsidR="00E12588">
        <w:rPr>
          <w:rFonts w:ascii="Times New Roman" w:hAnsi="Times New Roman"/>
          <w:bCs/>
        </w:rPr>
        <w:t xml:space="preserve">since </w:t>
      </w:r>
      <w:r>
        <w:rPr>
          <w:rFonts w:ascii="Times New Roman" w:hAnsi="Times New Roman"/>
          <w:bCs/>
        </w:rPr>
        <w:t>at least</w:t>
      </w:r>
      <w:r w:rsidR="00E12588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 xml:space="preserve">the opening of the new building that projected income has been less than expenses. </w:t>
      </w:r>
      <w:r w:rsidR="00350884">
        <w:rPr>
          <w:rFonts w:ascii="Times New Roman" w:hAnsi="Times New Roman"/>
          <w:bCs/>
        </w:rPr>
        <w:t>The library can only budget this way because of the Shutts bequest.</w:t>
      </w:r>
    </w:p>
    <w:p w14:paraId="057E72F9" w14:textId="77777777" w:rsidR="003A2BAA" w:rsidRDefault="003A2BAA">
      <w:pPr>
        <w:rPr>
          <w:rFonts w:ascii="Times New Roman" w:hAnsi="Times New Roman"/>
          <w:bCs/>
        </w:rPr>
      </w:pPr>
    </w:p>
    <w:p w14:paraId="2FA80E79" w14:textId="4F11468E" w:rsidR="00350884" w:rsidRDefault="00350884" w:rsidP="00350884">
      <w:pPr>
        <w:rPr>
          <w:rFonts w:ascii="Times New Roman" w:hAnsi="Times New Roman"/>
          <w:bCs/>
        </w:rPr>
      </w:pPr>
      <w:proofErr w:type="gramStart"/>
      <w:r>
        <w:rPr>
          <w:rFonts w:ascii="Times New Roman" w:hAnsi="Times New Roman"/>
          <w:bCs/>
        </w:rPr>
        <w:t>In order to</w:t>
      </w:r>
      <w:proofErr w:type="gramEnd"/>
      <w:r>
        <w:rPr>
          <w:rFonts w:ascii="Times New Roman" w:hAnsi="Times New Roman"/>
          <w:bCs/>
        </w:rPr>
        <w:t xml:space="preserve"> </w:t>
      </w:r>
      <w:r w:rsidR="00C14BF1">
        <w:rPr>
          <w:rFonts w:ascii="Times New Roman" w:hAnsi="Times New Roman"/>
          <w:bCs/>
        </w:rPr>
        <w:t>grow</w:t>
      </w:r>
      <w:r>
        <w:rPr>
          <w:rFonts w:ascii="Times New Roman" w:hAnsi="Times New Roman"/>
          <w:bCs/>
        </w:rPr>
        <w:t xml:space="preserve"> the principal on </w:t>
      </w:r>
      <w:r>
        <w:rPr>
          <w:rFonts w:ascii="Times New Roman" w:hAnsi="Times New Roman"/>
          <w:bCs/>
        </w:rPr>
        <w:t xml:space="preserve">the agency </w:t>
      </w:r>
      <w:r w:rsidR="00E12588">
        <w:rPr>
          <w:rFonts w:ascii="Times New Roman" w:hAnsi="Times New Roman"/>
          <w:bCs/>
        </w:rPr>
        <w:t>fund</w:t>
      </w:r>
      <w:r>
        <w:rPr>
          <w:rFonts w:ascii="Times New Roman" w:hAnsi="Times New Roman"/>
          <w:bCs/>
        </w:rPr>
        <w:t xml:space="preserve"> so </w:t>
      </w:r>
      <w:r>
        <w:rPr>
          <w:rFonts w:ascii="Times New Roman" w:hAnsi="Times New Roman"/>
          <w:bCs/>
        </w:rPr>
        <w:t>that t</w:t>
      </w:r>
      <w:r>
        <w:rPr>
          <w:rFonts w:ascii="Times New Roman" w:hAnsi="Times New Roman"/>
          <w:bCs/>
        </w:rPr>
        <w:t xml:space="preserve">he library can draw on it indefinitely, BTCF generally </w:t>
      </w:r>
      <w:r>
        <w:rPr>
          <w:rFonts w:ascii="Times New Roman" w:hAnsi="Times New Roman"/>
          <w:bCs/>
        </w:rPr>
        <w:t xml:space="preserve">recommends withdrawals of no more than about 4%. </w:t>
      </w:r>
      <w:r w:rsidR="00E12588">
        <w:rPr>
          <w:rFonts w:ascii="Times New Roman" w:hAnsi="Times New Roman"/>
          <w:bCs/>
        </w:rPr>
        <w:t>Depending on how the investments perform it could sometimes be less than that.</w:t>
      </w:r>
      <w:r w:rsidR="00E12588" w:rsidRPr="00E12588">
        <w:rPr>
          <w:rFonts w:ascii="Times New Roman" w:hAnsi="Times New Roman"/>
          <w:bCs/>
        </w:rPr>
        <w:t xml:space="preserve"> </w:t>
      </w:r>
      <w:r w:rsidR="00E12588">
        <w:rPr>
          <w:rFonts w:ascii="Times New Roman" w:hAnsi="Times New Roman"/>
          <w:bCs/>
        </w:rPr>
        <w:t>The $4</w:t>
      </w:r>
      <w:r w:rsidR="004A3094">
        <w:rPr>
          <w:rFonts w:ascii="Times New Roman" w:hAnsi="Times New Roman"/>
          <w:bCs/>
        </w:rPr>
        <w:t>8</w:t>
      </w:r>
      <w:r w:rsidR="00E12588">
        <w:rPr>
          <w:rFonts w:ascii="Times New Roman" w:hAnsi="Times New Roman"/>
          <w:bCs/>
        </w:rPr>
        <w:t>,</w:t>
      </w:r>
      <w:r w:rsidR="004A3094">
        <w:rPr>
          <w:rFonts w:ascii="Times New Roman" w:hAnsi="Times New Roman"/>
          <w:bCs/>
        </w:rPr>
        <w:t>3</w:t>
      </w:r>
      <w:r w:rsidR="00E12588">
        <w:rPr>
          <w:rFonts w:ascii="Times New Roman" w:hAnsi="Times New Roman"/>
          <w:bCs/>
        </w:rPr>
        <w:t xml:space="preserve">26 projected to be </w:t>
      </w:r>
      <w:r w:rsidR="00BA6BDC">
        <w:rPr>
          <w:rFonts w:ascii="Times New Roman" w:hAnsi="Times New Roman"/>
          <w:bCs/>
        </w:rPr>
        <w:t>withdrawn in</w:t>
      </w:r>
      <w:r w:rsidR="00E12588">
        <w:rPr>
          <w:rFonts w:ascii="Times New Roman" w:hAnsi="Times New Roman"/>
          <w:bCs/>
        </w:rPr>
        <w:t xml:space="preserve"> 2025 is </w:t>
      </w:r>
      <w:r w:rsidR="00E12588">
        <w:rPr>
          <w:rFonts w:ascii="Times New Roman" w:hAnsi="Times New Roman"/>
          <w:bCs/>
        </w:rPr>
        <w:t>3.</w:t>
      </w:r>
      <w:r w:rsidR="004A3094">
        <w:rPr>
          <w:rFonts w:ascii="Times New Roman" w:hAnsi="Times New Roman"/>
          <w:bCs/>
        </w:rPr>
        <w:t>7</w:t>
      </w:r>
      <w:r w:rsidR="00E12588">
        <w:rPr>
          <w:rFonts w:ascii="Times New Roman" w:hAnsi="Times New Roman"/>
          <w:bCs/>
        </w:rPr>
        <w:t>% of the current value of the fund.</w:t>
      </w:r>
    </w:p>
    <w:p w14:paraId="311E1F59" w14:textId="77777777" w:rsidR="00350884" w:rsidRDefault="00350884" w:rsidP="00350884">
      <w:pPr>
        <w:rPr>
          <w:rFonts w:ascii="Times New Roman" w:hAnsi="Times New Roman"/>
          <w:bCs/>
        </w:rPr>
      </w:pPr>
    </w:p>
    <w:p w14:paraId="2EE50E04" w14:textId="31BC6296" w:rsidR="00E12588" w:rsidRPr="00AD1939" w:rsidRDefault="00350884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In 2025, the library will also be withdrawing about $300,000 or so to build the pavilion. Presumably, half of the expense would be covered by a state construction grant, which would be received in late 2026.</w:t>
      </w:r>
    </w:p>
    <w:sectPr w:rsidR="00E12588" w:rsidRPr="00AD19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39B"/>
    <w:rsid w:val="00000F77"/>
    <w:rsid w:val="00002B46"/>
    <w:rsid w:val="00040009"/>
    <w:rsid w:val="000443FE"/>
    <w:rsid w:val="00080A6C"/>
    <w:rsid w:val="000A11D2"/>
    <w:rsid w:val="000A37B3"/>
    <w:rsid w:val="000C043B"/>
    <w:rsid w:val="00132244"/>
    <w:rsid w:val="00147BB7"/>
    <w:rsid w:val="00172295"/>
    <w:rsid w:val="00177557"/>
    <w:rsid w:val="00194127"/>
    <w:rsid w:val="001A6758"/>
    <w:rsid w:val="001B754D"/>
    <w:rsid w:val="00212895"/>
    <w:rsid w:val="00232689"/>
    <w:rsid w:val="002441A9"/>
    <w:rsid w:val="002514AF"/>
    <w:rsid w:val="00261B1B"/>
    <w:rsid w:val="00262566"/>
    <w:rsid w:val="00263F58"/>
    <w:rsid w:val="002730BD"/>
    <w:rsid w:val="002918B2"/>
    <w:rsid w:val="002A5619"/>
    <w:rsid w:val="002D577F"/>
    <w:rsid w:val="002F32DB"/>
    <w:rsid w:val="00321246"/>
    <w:rsid w:val="00350884"/>
    <w:rsid w:val="00382718"/>
    <w:rsid w:val="003907D8"/>
    <w:rsid w:val="003A157F"/>
    <w:rsid w:val="003A2BAA"/>
    <w:rsid w:val="003A3F80"/>
    <w:rsid w:val="003B3D15"/>
    <w:rsid w:val="003B7D8A"/>
    <w:rsid w:val="003D7FED"/>
    <w:rsid w:val="00403FA0"/>
    <w:rsid w:val="0041438B"/>
    <w:rsid w:val="004317FE"/>
    <w:rsid w:val="00451D76"/>
    <w:rsid w:val="00455F89"/>
    <w:rsid w:val="00467B15"/>
    <w:rsid w:val="00487318"/>
    <w:rsid w:val="004A2E27"/>
    <w:rsid w:val="004A3094"/>
    <w:rsid w:val="004F139B"/>
    <w:rsid w:val="00520B8A"/>
    <w:rsid w:val="00535E8C"/>
    <w:rsid w:val="005631E5"/>
    <w:rsid w:val="005648CF"/>
    <w:rsid w:val="005660A9"/>
    <w:rsid w:val="00577CF3"/>
    <w:rsid w:val="00583A43"/>
    <w:rsid w:val="00593A26"/>
    <w:rsid w:val="005A73D0"/>
    <w:rsid w:val="005C132F"/>
    <w:rsid w:val="005D3AC3"/>
    <w:rsid w:val="005E09B1"/>
    <w:rsid w:val="005E1281"/>
    <w:rsid w:val="005E457C"/>
    <w:rsid w:val="00613CB5"/>
    <w:rsid w:val="006220C7"/>
    <w:rsid w:val="00627889"/>
    <w:rsid w:val="00655E26"/>
    <w:rsid w:val="00657A1C"/>
    <w:rsid w:val="006646A5"/>
    <w:rsid w:val="006774F2"/>
    <w:rsid w:val="00690A02"/>
    <w:rsid w:val="006947D5"/>
    <w:rsid w:val="006C530E"/>
    <w:rsid w:val="006C7404"/>
    <w:rsid w:val="006F025D"/>
    <w:rsid w:val="007422B1"/>
    <w:rsid w:val="0075189B"/>
    <w:rsid w:val="00766F0A"/>
    <w:rsid w:val="00771A27"/>
    <w:rsid w:val="0077677A"/>
    <w:rsid w:val="00780CC9"/>
    <w:rsid w:val="007D0468"/>
    <w:rsid w:val="007F6CFD"/>
    <w:rsid w:val="00805EC8"/>
    <w:rsid w:val="008429F6"/>
    <w:rsid w:val="008811E4"/>
    <w:rsid w:val="00896BF5"/>
    <w:rsid w:val="008A2945"/>
    <w:rsid w:val="008A7C2A"/>
    <w:rsid w:val="008D7D53"/>
    <w:rsid w:val="008E51DE"/>
    <w:rsid w:val="00910F1A"/>
    <w:rsid w:val="00931F8D"/>
    <w:rsid w:val="009911BA"/>
    <w:rsid w:val="009A397F"/>
    <w:rsid w:val="009B0AF1"/>
    <w:rsid w:val="009C0B7F"/>
    <w:rsid w:val="009D2E2A"/>
    <w:rsid w:val="009F543A"/>
    <w:rsid w:val="00A2477A"/>
    <w:rsid w:val="00A55DDD"/>
    <w:rsid w:val="00A654DD"/>
    <w:rsid w:val="00A9100C"/>
    <w:rsid w:val="00A9682A"/>
    <w:rsid w:val="00AA3325"/>
    <w:rsid w:val="00AC04EC"/>
    <w:rsid w:val="00AC5358"/>
    <w:rsid w:val="00AD1939"/>
    <w:rsid w:val="00AD4B0C"/>
    <w:rsid w:val="00AF0F17"/>
    <w:rsid w:val="00B1002E"/>
    <w:rsid w:val="00B21C4B"/>
    <w:rsid w:val="00B2333D"/>
    <w:rsid w:val="00B23DE3"/>
    <w:rsid w:val="00B40493"/>
    <w:rsid w:val="00B65C70"/>
    <w:rsid w:val="00B8545E"/>
    <w:rsid w:val="00BA10CE"/>
    <w:rsid w:val="00BA422F"/>
    <w:rsid w:val="00BA6BDC"/>
    <w:rsid w:val="00BB0B2B"/>
    <w:rsid w:val="00BB74FA"/>
    <w:rsid w:val="00BD7A4F"/>
    <w:rsid w:val="00BE24E1"/>
    <w:rsid w:val="00C14BF1"/>
    <w:rsid w:val="00C2008C"/>
    <w:rsid w:val="00C40DE0"/>
    <w:rsid w:val="00C7237C"/>
    <w:rsid w:val="00C92128"/>
    <w:rsid w:val="00CA45D2"/>
    <w:rsid w:val="00CC5B1F"/>
    <w:rsid w:val="00CD03AF"/>
    <w:rsid w:val="00CE09E1"/>
    <w:rsid w:val="00CF693D"/>
    <w:rsid w:val="00D0169B"/>
    <w:rsid w:val="00D06234"/>
    <w:rsid w:val="00D36953"/>
    <w:rsid w:val="00D40B83"/>
    <w:rsid w:val="00D650E4"/>
    <w:rsid w:val="00D674A8"/>
    <w:rsid w:val="00D83A17"/>
    <w:rsid w:val="00D845A0"/>
    <w:rsid w:val="00DB7529"/>
    <w:rsid w:val="00DB7F36"/>
    <w:rsid w:val="00DC2C95"/>
    <w:rsid w:val="00DC4245"/>
    <w:rsid w:val="00DD652D"/>
    <w:rsid w:val="00DD7B6F"/>
    <w:rsid w:val="00DE291D"/>
    <w:rsid w:val="00DF06C0"/>
    <w:rsid w:val="00E03F44"/>
    <w:rsid w:val="00E05861"/>
    <w:rsid w:val="00E1185D"/>
    <w:rsid w:val="00E12588"/>
    <w:rsid w:val="00E2058C"/>
    <w:rsid w:val="00E36CFE"/>
    <w:rsid w:val="00E44DCE"/>
    <w:rsid w:val="00E52B84"/>
    <w:rsid w:val="00E55A39"/>
    <w:rsid w:val="00E614CA"/>
    <w:rsid w:val="00E71AA7"/>
    <w:rsid w:val="00E75E44"/>
    <w:rsid w:val="00E775C9"/>
    <w:rsid w:val="00EC1DE7"/>
    <w:rsid w:val="00ED28C5"/>
    <w:rsid w:val="00EF5931"/>
    <w:rsid w:val="00F2089B"/>
    <w:rsid w:val="00F238DF"/>
    <w:rsid w:val="00F3640E"/>
    <w:rsid w:val="00F618F3"/>
    <w:rsid w:val="00F61F93"/>
    <w:rsid w:val="00F918B8"/>
    <w:rsid w:val="00F95F69"/>
    <w:rsid w:val="00FB2FA8"/>
    <w:rsid w:val="00FB31D9"/>
    <w:rsid w:val="00FC6533"/>
    <w:rsid w:val="00FF6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510CB9"/>
  <w15:chartTrackingRefBased/>
  <w15:docId w15:val="{66FE0E2D-C85C-8E4C-829D-2E2EE0173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139B"/>
    <w:rPr>
      <w:rFonts w:eastAsiaTheme="minorHAnsi"/>
      <w:kern w:val="0"/>
      <w:lang w:eastAsia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F693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693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F693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75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00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90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60284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107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23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701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310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724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2633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7554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0868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5771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993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9216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7244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2600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908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865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6646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9659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912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8950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172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5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78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75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769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096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828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799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51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77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67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89630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452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856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106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830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5078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949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850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6280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016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626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3134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4060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7204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7002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5268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8031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881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1708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3467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628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92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264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950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208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737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3025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91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7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7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4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7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66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20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35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48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23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Wormley</dc:creator>
  <cp:keywords/>
  <dc:description/>
  <cp:lastModifiedBy>Margaret Wormley</cp:lastModifiedBy>
  <cp:revision>6</cp:revision>
  <cp:lastPrinted>2024-11-19T20:36:00Z</cp:lastPrinted>
  <dcterms:created xsi:type="dcterms:W3CDTF">2024-12-12T18:23:00Z</dcterms:created>
  <dcterms:modified xsi:type="dcterms:W3CDTF">2024-12-14T18:31:00Z</dcterms:modified>
</cp:coreProperties>
</file>